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02E77" w14:textId="41F10104" w:rsidR="00C85886" w:rsidRPr="00427E5A" w:rsidRDefault="00C85886" w:rsidP="00C85886">
      <w:pPr>
        <w:jc w:val="right"/>
        <w:rPr>
          <w:b/>
          <w:bCs/>
        </w:rPr>
      </w:pPr>
      <w:r w:rsidRPr="00D51A07">
        <w:rPr>
          <w:b/>
          <w:bCs/>
        </w:rPr>
        <w:t>Zał</w:t>
      </w:r>
      <w:r w:rsidR="00D3294E" w:rsidRPr="00D51A07">
        <w:rPr>
          <w:b/>
          <w:bCs/>
        </w:rPr>
        <w:t>ącznik nr</w:t>
      </w:r>
      <w:r w:rsidRPr="00D51A07">
        <w:rPr>
          <w:b/>
          <w:bCs/>
        </w:rPr>
        <w:t xml:space="preserve"> </w:t>
      </w:r>
      <w:r w:rsidR="00B87B5C" w:rsidRPr="00D51A07">
        <w:rPr>
          <w:b/>
          <w:bCs/>
        </w:rPr>
        <w:t>4</w:t>
      </w:r>
      <w:r w:rsidRPr="00D51A07">
        <w:rPr>
          <w:b/>
          <w:bCs/>
        </w:rPr>
        <w:t>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D4E6D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73987078" w:rsidR="00624A65" w:rsidRPr="005E562F" w:rsidRDefault="00624A65" w:rsidP="00D25F5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KARTA OCENY 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PROJEKTU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B7D2B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br/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DZIAŁANI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0</w:t>
            </w:r>
            <w:r w:rsidR="00406A3C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.0</w:t>
            </w:r>
            <w:r w:rsidR="00406A3C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„</w:t>
            </w:r>
            <w:r w:rsidR="00406A3C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INFRASTRUKTURA DROGOWA”</w:t>
            </w:r>
          </w:p>
          <w:p w14:paraId="576A9D80" w14:textId="363D26E7" w:rsidR="00770837" w:rsidRPr="005E562F" w:rsidRDefault="00581A94" w:rsidP="00D3294E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ETAP OCENY FORMALNEJ (KRYTERIA FORMALNE)</w:t>
            </w:r>
          </w:p>
          <w:p w14:paraId="029A89F2" w14:textId="1BEB8F2B" w:rsidR="009B7D2B" w:rsidRPr="006D4E6D" w:rsidRDefault="009B7D2B" w:rsidP="00D25F5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C85886" w:rsidRPr="006D4E6D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4AA30D24" w:rsidR="00624A65" w:rsidRPr="005E562F" w:rsidRDefault="00740FE7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PRIORYTET: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4DEC1545" w:rsidR="00624A65" w:rsidRPr="005E562F" w:rsidRDefault="00406A3C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„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Fundusze </w:t>
            </w:r>
            <w:r w:rsidR="0012313F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uropejskie dla </w:t>
            </w:r>
            <w:r w:rsidR="00A94AD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dostępności Świętokrzyskiego”</w:t>
            </w:r>
          </w:p>
        </w:tc>
      </w:tr>
      <w:tr w:rsidR="00624A65" w:rsidRPr="006D4E6D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6761C8C6" w:rsidR="00624A65" w:rsidRPr="005E562F" w:rsidRDefault="00EF6B6B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366B57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.0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„</w:t>
            </w:r>
            <w:r w:rsidR="00366B57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Infrastruktura drogowa”</w:t>
            </w:r>
          </w:p>
        </w:tc>
      </w:tr>
      <w:tr w:rsidR="00624A65" w:rsidRPr="006D4E6D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20828AC2" w:rsidR="00624A65" w:rsidRPr="005E562F" w:rsidRDefault="00B8532A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bookmarkStart w:id="0" w:name="_Hlk169010965"/>
            <w:r w:rsidRPr="005E562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„</w:t>
            </w:r>
            <w:bookmarkEnd w:id="0"/>
            <w:r w:rsidR="005D7E88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 xml:space="preserve">Drogi wojewódzkie” </w:t>
            </w:r>
          </w:p>
        </w:tc>
      </w:tr>
      <w:tr w:rsidR="00624A65" w:rsidRPr="006D4E6D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286B6582" w:rsidR="00624A65" w:rsidRPr="005E562F" w:rsidRDefault="005D7E88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nie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konkurencyjny</w:t>
            </w:r>
          </w:p>
        </w:tc>
      </w:tr>
      <w:tr w:rsidR="00624A65" w:rsidRPr="006D4E6D" w14:paraId="6B9B21E4" w14:textId="77777777" w:rsidTr="00D3294E">
        <w:trPr>
          <w:trHeight w:val="195"/>
        </w:trPr>
        <w:tc>
          <w:tcPr>
            <w:tcW w:w="3686" w:type="dxa"/>
            <w:noWrap/>
            <w:hideMark/>
          </w:tcPr>
          <w:p w14:paraId="4786D836" w14:textId="78C8C505" w:rsidR="00624A65" w:rsidRPr="005E562F" w:rsidRDefault="00FA7A3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Nazwa 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Wnioskodawc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y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0489" w:type="dxa"/>
            <w:hideMark/>
          </w:tcPr>
          <w:p w14:paraId="1B2167E3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24A65" w:rsidRPr="006D4E6D" w14:paraId="0DF7CF79" w14:textId="77777777" w:rsidTr="00D3294E">
        <w:trPr>
          <w:trHeight w:val="213"/>
        </w:trPr>
        <w:tc>
          <w:tcPr>
            <w:tcW w:w="3686" w:type="dxa"/>
            <w:noWrap/>
            <w:hideMark/>
          </w:tcPr>
          <w:p w14:paraId="39700B09" w14:textId="77777777" w:rsidR="00624A65" w:rsidRPr="005E562F" w:rsidRDefault="00624A65" w:rsidP="00D3294E">
            <w:pPr>
              <w:ind w:right="29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Tytuł projektu: </w:t>
            </w:r>
          </w:p>
        </w:tc>
        <w:tc>
          <w:tcPr>
            <w:tcW w:w="10489" w:type="dxa"/>
            <w:hideMark/>
          </w:tcPr>
          <w:p w14:paraId="1A641EA1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24A65" w:rsidRPr="006D4E6D" w14:paraId="3DB34DB2" w14:textId="77777777" w:rsidTr="00D3294E">
        <w:trPr>
          <w:trHeight w:val="217"/>
        </w:trPr>
        <w:tc>
          <w:tcPr>
            <w:tcW w:w="3686" w:type="dxa"/>
            <w:noWrap/>
            <w:hideMark/>
          </w:tcPr>
          <w:p w14:paraId="76DF0548" w14:textId="7DD34391" w:rsidR="00624A65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ydatki ogółem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10489" w:type="dxa"/>
            <w:noWrap/>
            <w:hideMark/>
          </w:tcPr>
          <w:p w14:paraId="7FCB84D1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25A48112" w14:textId="77777777" w:rsidTr="00D3294E">
        <w:trPr>
          <w:trHeight w:val="221"/>
        </w:trPr>
        <w:tc>
          <w:tcPr>
            <w:tcW w:w="3686" w:type="dxa"/>
            <w:noWrap/>
            <w:hideMark/>
          </w:tcPr>
          <w:p w14:paraId="22B8849A" w14:textId="4E0E3D5D" w:rsidR="00624A65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ydatki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kwalifikowalne:</w:t>
            </w:r>
          </w:p>
        </w:tc>
        <w:tc>
          <w:tcPr>
            <w:tcW w:w="10489" w:type="dxa"/>
            <w:noWrap/>
            <w:hideMark/>
          </w:tcPr>
          <w:p w14:paraId="3F9A831B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5476C776" w14:textId="77777777" w:rsidTr="00D3294E">
        <w:trPr>
          <w:trHeight w:val="225"/>
        </w:trPr>
        <w:tc>
          <w:tcPr>
            <w:tcW w:w="3686" w:type="dxa"/>
            <w:noWrap/>
            <w:hideMark/>
          </w:tcPr>
          <w:p w14:paraId="32F85659" w14:textId="1354EF55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Wnioskowan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dofinansowani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10489" w:type="dxa"/>
            <w:noWrap/>
            <w:hideMark/>
          </w:tcPr>
          <w:p w14:paraId="10958E0A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1829A2AE" w14:textId="77777777" w:rsidTr="00D3294E">
        <w:trPr>
          <w:trHeight w:val="243"/>
        </w:trPr>
        <w:tc>
          <w:tcPr>
            <w:tcW w:w="3686" w:type="dxa"/>
            <w:noWrap/>
            <w:hideMark/>
          </w:tcPr>
          <w:p w14:paraId="6BCECBB0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w tym EFRR: </w:t>
            </w:r>
          </w:p>
        </w:tc>
        <w:tc>
          <w:tcPr>
            <w:tcW w:w="10489" w:type="dxa"/>
            <w:noWrap/>
            <w:hideMark/>
          </w:tcPr>
          <w:p w14:paraId="4D8C3DBF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5405C6" w:rsidRPr="006D4E6D" w14:paraId="406C7187" w14:textId="77777777" w:rsidTr="00D3294E">
        <w:trPr>
          <w:trHeight w:val="233"/>
        </w:trPr>
        <w:tc>
          <w:tcPr>
            <w:tcW w:w="3686" w:type="dxa"/>
            <w:noWrap/>
          </w:tcPr>
          <w:p w14:paraId="554377AC" w14:textId="01A8DAB8" w:rsidR="005405C6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 tym budżet państwa (jeśli dotyczy):</w:t>
            </w:r>
          </w:p>
        </w:tc>
        <w:tc>
          <w:tcPr>
            <w:tcW w:w="10489" w:type="dxa"/>
            <w:noWrap/>
          </w:tcPr>
          <w:p w14:paraId="1852ED75" w14:textId="77777777" w:rsidR="005405C6" w:rsidRPr="005E562F" w:rsidRDefault="005405C6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1352C1" w:rsidRPr="006D4E6D" w14:paraId="7EDB4E23" w14:textId="77777777" w:rsidTr="00D3294E">
        <w:trPr>
          <w:trHeight w:val="251"/>
        </w:trPr>
        <w:tc>
          <w:tcPr>
            <w:tcW w:w="3686" w:type="dxa"/>
            <w:noWrap/>
            <w:hideMark/>
          </w:tcPr>
          <w:p w14:paraId="1B7048B7" w14:textId="30EC968F" w:rsidR="001352C1" w:rsidRPr="005E562F" w:rsidRDefault="001352C1" w:rsidP="00D3294E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Nr ew</w:t>
            </w:r>
            <w:r w:rsidR="00D3294E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idencyjny 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wniosku:</w:t>
            </w:r>
          </w:p>
        </w:tc>
        <w:tc>
          <w:tcPr>
            <w:tcW w:w="10489" w:type="dxa"/>
          </w:tcPr>
          <w:p w14:paraId="169C2244" w14:textId="6695C9EC" w:rsidR="001352C1" w:rsidRPr="005E562F" w:rsidRDefault="001352C1">
            <w:pPr>
              <w:rPr>
                <w:rFonts w:ascii="Calibri" w:hAnsi="Calibri" w:cs="Calibri"/>
                <w:color w:val="000000" w:themeColor="text1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Pr="006D4E6D" w:rsidRDefault="00AC240E">
      <w:pPr>
        <w:rPr>
          <w:rFonts w:ascii="Calibri" w:hAnsi="Calibri" w:cs="Calibri"/>
        </w:rPr>
        <w:sectPr w:rsidR="00BF4F6F" w:rsidRPr="006D4E6D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 w:rsidRPr="006D4E6D">
        <w:rPr>
          <w:rFonts w:ascii="Calibri" w:hAnsi="Calibri" w:cs="Calibri"/>
        </w:rP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D4E6D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  <w:bookmarkStart w:id="2" w:name="RANGE!A2:H28"/>
            <w:bookmarkEnd w:id="2"/>
            <w:r w:rsidRPr="006D4E6D">
              <w:rPr>
                <w:rFonts w:ascii="Calibri" w:hAnsi="Calibri" w:cs="Calibri"/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926" w:type="dxa"/>
            <w:noWrap/>
            <w:hideMark/>
          </w:tcPr>
          <w:p w14:paraId="5ACE52D9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noWrap/>
            <w:hideMark/>
          </w:tcPr>
          <w:p w14:paraId="384D44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</w:tr>
      <w:tr w:rsidR="00581A94" w:rsidRPr="006D4E6D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D4E6D" w:rsidRDefault="00581A94" w:rsidP="00624A65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  <w:i/>
                <w:iCs/>
              </w:rPr>
              <w:t xml:space="preserve">(Niespełnienie co najmniej jednego z wymienionych poniżej kryteriów powoduje odrzucenie </w:t>
            </w:r>
            <w:r w:rsidR="00D029CE" w:rsidRPr="006D4E6D">
              <w:rPr>
                <w:rFonts w:ascii="Calibri" w:hAnsi="Calibri" w:cs="Calibri"/>
                <w:i/>
                <w:iCs/>
              </w:rPr>
              <w:t>projektu</w:t>
            </w:r>
            <w:r w:rsidRPr="006D4E6D">
              <w:rPr>
                <w:rFonts w:ascii="Calibri" w:hAnsi="Calibri" w:cs="Calibri"/>
                <w:i/>
                <w:iCs/>
              </w:rPr>
              <w:t>)</w:t>
            </w:r>
          </w:p>
        </w:tc>
      </w:tr>
      <w:tr w:rsidR="00962F29" w:rsidRPr="006D4E6D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3" w:name="_Hlk170894665"/>
            <w:r w:rsidRPr="006D4E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5E562F" w:rsidRDefault="00962F29" w:rsidP="00BD4F2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Możliwość poprawy lub uzupełnienia</w:t>
            </w:r>
            <w:r w:rsidR="005C7A72" w:rsidRPr="005E562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5E562F" w:rsidRDefault="00962F29" w:rsidP="00BD4F2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Wynik oceny spełniania kryterium </w:t>
            </w:r>
            <w:r w:rsidR="00AE5BB9" w:rsidRPr="005E562F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5E562F" w:rsidRDefault="00962F29" w:rsidP="00962F29">
            <w:pPr>
              <w:ind w:hanging="107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Uwagi</w:t>
            </w:r>
          </w:p>
        </w:tc>
      </w:tr>
      <w:bookmarkEnd w:id="3"/>
      <w:tr w:rsidR="00962F29" w:rsidRPr="006D4E6D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D2B" w:rsidRPr="006D4E6D" w14:paraId="78572616" w14:textId="77777777" w:rsidTr="00716DBF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7296" w14:textId="6F2E463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Wniosek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został złożony w terminie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formie określonej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C645" w14:textId="5C18D161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weryfikowane będzie, czy wniosek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o dofinansowanie został złożony zgodnie ze wskazanymi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46D8" w14:textId="42558FE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00259707" w14:textId="6E646B5D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DBF">
                  <w:rPr>
                    <w:rFonts w:ascii="MS Gothic" w:eastAsia="MS Gothic" w:hAnsi="MS Gothic" w:cs="Calibr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F90C1" w14:textId="6B473DD6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CD5BC5A" w14:textId="77777777" w:rsidTr="00716DBF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7D89" w14:textId="5D49323A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Kompletność wniosku </w:t>
            </w:r>
            <w:r w:rsidR="009B7D2B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oraz załączników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</w:t>
            </w:r>
            <w:r w:rsidR="003958D4" w:rsidRPr="006D4E6D">
              <w:rPr>
                <w:rFonts w:ascii="Calibri" w:hAnsi="Calibri" w:cs="Calibri"/>
                <w:b/>
                <w:bCs/>
              </w:rPr>
              <w:t>p</w:t>
            </w:r>
            <w:r w:rsidRPr="006D4E6D">
              <w:rPr>
                <w:rFonts w:ascii="Calibri" w:hAnsi="Calibri" w:cs="Calibri"/>
                <w:b/>
                <w:bCs/>
              </w:rPr>
              <w:t>oprawność</w:t>
            </w:r>
            <w:r w:rsidR="003958D4" w:rsidRPr="006D4E6D">
              <w:rPr>
                <w:rFonts w:ascii="Calibri" w:hAnsi="Calibri" w:cs="Calibri"/>
                <w:b/>
                <w:bCs/>
              </w:rPr>
              <w:t xml:space="preserve"> </w:t>
            </w:r>
            <w:r w:rsidRPr="006D4E6D">
              <w:rPr>
                <w:rFonts w:ascii="Calibri" w:hAnsi="Calibri" w:cs="Calibri"/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8080" w14:textId="77777777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weryfikacji podlegać będzie, czy:</w:t>
            </w:r>
          </w:p>
          <w:p w14:paraId="5FEB083F" w14:textId="1078470B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wniosek o dofinasowanie został prawidłowo wypełniony (wszystkie wymagane sekcje/pola wniosku zostały właściwie wypełnione),</w:t>
            </w:r>
          </w:p>
          <w:p w14:paraId="10C8378D" w14:textId="45715B9A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wszystkie wymagane regulaminem wyboru projektów załączniki zostały złożone (jeśli dotyczy)</w:t>
            </w:r>
          </w:p>
          <w:p w14:paraId="04AC0133" w14:textId="67957CB0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dołączone do wniosku załączniki zostały złożone na obowiązujących wzorach/formularzach oraz zostały poprawnie wypełnione.</w:t>
            </w:r>
          </w:p>
          <w:p w14:paraId="7202AD29" w14:textId="55B6C064" w:rsidR="001352C1" w:rsidRPr="006D4E6D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E72B" w14:textId="210D8B4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55E63E67" w14:textId="19BD11D6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4D0E7" w14:textId="5AC326A3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762D89D" w14:textId="77777777" w:rsidTr="00716DBF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0D0D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F610" w14:textId="77777777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69A3A114" w14:textId="0BE9412A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1.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Należą do podmiotów uprawnionych do złożenia wniosku o dofinansowanie w ramach danego naboru, zgodnie z FEŚ 2021 – 2027, </w:t>
            </w:r>
            <w:proofErr w:type="spellStart"/>
            <w:r w:rsidRPr="00740FE7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="00F54102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 oraz regulaminem wyboru projektów.</w:t>
            </w:r>
          </w:p>
          <w:p w14:paraId="2CD16845" w14:textId="0DA4A2A1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Nie podlegają wykluczeniu z ubiegania się o dofinansowanie na podstawie:</w:t>
            </w:r>
          </w:p>
          <w:p w14:paraId="42C4126C" w14:textId="125C64E4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art. 207 ust. 4 ustawy z dnia 27 sierpnia 2009 roku o finansach publicznych,</w:t>
            </w:r>
          </w:p>
          <w:p w14:paraId="6BC1CFE9" w14:textId="2F5D0A62" w:rsid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art. 12 ust. 1 pkt 1 ustawy z dnia 15 czerwca 2012 roku o skutkach powierzania wykonywania pracy cudzoziemcom </w:t>
            </w:r>
            <w:r w:rsidRPr="00740FE7">
              <w:rPr>
                <w:rFonts w:ascii="Calibri" w:hAnsi="Calibri" w:cs="Calibri"/>
                <w:sz w:val="20"/>
                <w:szCs w:val="20"/>
              </w:rPr>
              <w:lastRenderedPageBreak/>
              <w:t>przebywającym wbrew przepisom na terytorium Rzeczypospolitej Polskiej,</w:t>
            </w:r>
          </w:p>
          <w:p w14:paraId="64C3A578" w14:textId="118C2473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art. 9 ust. 1 pkt 2a ustawy z dnia 28 października 2002 roku o odpowiedzialności podmiotów zbiorowych za czyny zabronione pod groźbą kary. </w:t>
            </w:r>
          </w:p>
          <w:p w14:paraId="40AFCEC0" w14:textId="7474BE1F" w:rsidR="00740FE7" w:rsidRPr="00740FE7" w:rsidRDefault="00740FE7" w:rsidP="00740FE7">
            <w:pPr>
              <w:pStyle w:val="Akapitzlist"/>
              <w:numPr>
                <w:ilvl w:val="0"/>
                <w:numId w:val="8"/>
              </w:numPr>
              <w:tabs>
                <w:tab w:val="left" w:pos="312"/>
              </w:tabs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 xml:space="preserve">Nie zostali wykluczeni z możliwości ubiegania się o dofinansowanie na podstawie ustawy z dnia 13 kwietnia 2022 roku o szczególnych rozwiązaniach w zakresie przeciwdziałania wspieraniu agresji na Ukrainę oraz służących ochronie bezpieczeństwa narodowego. </w:t>
            </w:r>
          </w:p>
          <w:p w14:paraId="1B02117B" w14:textId="77777777" w:rsid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DB036E3" w14:textId="0E8EE55E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 xml:space="preserve">Punktów 2-3 nie stosuje się do podmiotów wymienionych w art. 207 ust. 7 ustawy z dnia 27 sierpnia 2009 roku o finansach publicznych. </w:t>
            </w:r>
          </w:p>
          <w:p w14:paraId="2D9E9EDB" w14:textId="0F50F2B9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</w:p>
          <w:p w14:paraId="44E2F0E9" w14:textId="39410B08" w:rsidR="00740FE7" w:rsidRPr="00740FE7" w:rsidRDefault="00740FE7" w:rsidP="00740FE7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  <w:p w14:paraId="21336917" w14:textId="321DDFCD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6821" w14:textId="0FB6A0DA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36CE8C7C" w14:textId="14A984D3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04A5D" w14:textId="71B6683F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59BE104" w14:textId="77777777" w:rsidTr="00716DBF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28CF" w14:textId="68BB6D4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Wnioskodawca/partner nie jest przedsiębiorstwem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trudnej sytuacji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3ABC" w14:textId="7A4EA812" w:rsidR="00740FE7" w:rsidRDefault="00740FE7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 xml:space="preserve">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trudnej sytuacji stosuje się również Rozporządzenie Komisji (UE) </w:t>
            </w:r>
            <w:r w:rsidRPr="00740FE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651/2014. Kryterium nie ma zastosowania w sytuacji, gdy dofinansowanie stanowi pomoc de </w:t>
            </w:r>
            <w:proofErr w:type="spellStart"/>
            <w:r w:rsidRPr="00740FE7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740FE7">
              <w:rPr>
                <w:rFonts w:ascii="Calibri" w:hAnsi="Calibri" w:cs="Calibri"/>
                <w:sz w:val="20"/>
                <w:szCs w:val="20"/>
              </w:rPr>
              <w:t xml:space="preserve"> lub wsparcie podlegające tymczasowym zasadom pomocy państwa ustanowionym w celu odpowiedzi na wystąpienie wyjątkowych okoliczności, chyba że co innego wynika z przepisów o pomocy publicznej. Sprawdzane będzie także, czy wnioskodawca/partner (jeśli dotyczy)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40FE7">
              <w:rPr>
                <w:rFonts w:ascii="Calibri" w:hAnsi="Calibri" w:cs="Calibri"/>
                <w:sz w:val="20"/>
                <w:szCs w:val="20"/>
              </w:rPr>
              <w:t>przedłożył oświadczenie o tym, że nie jest przedsiębiorstwem w trudnej sytuacji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A808755" w14:textId="195B1A73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A4B6" w14:textId="238CB433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4BBFDC58" w14:textId="687E20DB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4EA1F" w14:textId="7B4E0DE7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19A1020D" w14:textId="77777777" w:rsidTr="00716DBF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C43D" w14:textId="0C789BD8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dotyczy działalności gospodarczej/inwestycji wykluczonych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215D" w14:textId="491572BA" w:rsidR="001352C1" w:rsidRPr="006D4E6D" w:rsidRDefault="00740FE7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740FE7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projekt nie dotyczy działalności gospodarczej/inwestycji podlegających wykluczeniu zgodnie z Rozporządzeniem Parlamentu Europejskiego i Rady (UE) nr 2021/1058, Rozporządzeniem Komisji (UE) nr 651/2014, </w:t>
            </w:r>
            <w:r w:rsidRPr="00D51A07">
              <w:rPr>
                <w:rFonts w:ascii="Calibri" w:hAnsi="Calibri" w:cs="Calibri"/>
                <w:sz w:val="20"/>
                <w:szCs w:val="20"/>
              </w:rPr>
              <w:t>Rozporządzeniem Komisji (UE) nr 2023/2831.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D861" w14:textId="0E87B0E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6E5AFB25" w14:textId="2E2DCF00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DBF">
                  <w:rPr>
                    <w:rFonts w:ascii="MS Gothic" w:eastAsia="MS Gothic" w:hAnsi="MS Gothic" w:cs="Calibr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1A8A9" w14:textId="0AE7A5B5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6393E28C" w14:textId="77777777" w:rsidTr="00716DBF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E974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4420" w14:textId="77777777" w:rsidR="00796912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ocenie podlegać będzie, czy:</w:t>
            </w:r>
          </w:p>
          <w:p w14:paraId="1DC62B39" w14:textId="77777777" w:rsidR="00495576" w:rsidRDefault="001352C1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jest realizowany na obszarze województwa świętokrzyskiego</w:t>
            </w:r>
            <w:r w:rsidR="00796912" w:rsidRPr="006D4E6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73E2E899" w14:textId="77777777" w:rsidR="00495576" w:rsidRDefault="00495576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7F3F79DB" w14:textId="77777777" w:rsidR="00495576" w:rsidRDefault="00495576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030034D0" w:rsidR="001352C1" w:rsidRPr="00495576" w:rsidRDefault="00495576" w:rsidP="00495576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 xml:space="preserve">projekt nie obejmuje działań, które stanowiły część operacji podlegającej przeniesieniu produkcji zgodnie z art. 66 Rozporządzenia PE i Rady (UE) 2021/1060 z dnia 24 czerwca </w:t>
            </w:r>
            <w:r w:rsidR="001352C1" w:rsidRPr="00495576">
              <w:rPr>
                <w:rFonts w:ascii="Calibri" w:hAnsi="Calibri" w:cs="Calibri"/>
                <w:sz w:val="20"/>
                <w:szCs w:val="20"/>
              </w:rPr>
              <w:t>202</w:t>
            </w:r>
            <w:r w:rsidR="008C12EE" w:rsidRPr="00495576">
              <w:rPr>
                <w:rFonts w:ascii="Calibri" w:hAnsi="Calibri" w:cs="Calibri"/>
                <w:sz w:val="20"/>
                <w:szCs w:val="20"/>
              </w:rPr>
              <w:t>1</w:t>
            </w:r>
            <w:r w:rsidR="001352C1" w:rsidRPr="00495576">
              <w:rPr>
                <w:rFonts w:ascii="Calibri" w:hAnsi="Calibri" w:cs="Calibri"/>
                <w:sz w:val="20"/>
                <w:szCs w:val="20"/>
              </w:rPr>
              <w:t xml:space="preserve">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5AC2" w14:textId="61900DA1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0CF27303" w14:textId="17A179E8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E5D9" w14:textId="55C2C4B5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580789A" w14:textId="77777777" w:rsidTr="00716DBF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54BF" w14:textId="234B6BB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jest zakończony lub w pełni zrealizowany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Rozporządzenia ogólnego</w:t>
            </w:r>
            <w:r w:rsidR="00C27D88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2563" w14:textId="55754BC3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</w:t>
            </w:r>
            <w:r w:rsidR="00495576">
              <w:rPr>
                <w:rFonts w:ascii="Calibri" w:hAnsi="Calibri" w:cs="Calibri"/>
                <w:sz w:val="20"/>
                <w:szCs w:val="20"/>
              </w:rPr>
              <w:t>d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2680" w14:textId="1B9C6C1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3230C6AE" w14:textId="10D1B324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2D44F" w14:textId="72C3786F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2634C3E" w14:textId="77777777" w:rsidTr="00716DBF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C688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D73" w14:textId="77777777" w:rsidR="001352C1" w:rsidRDefault="00495576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495576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495576">
              <w:rPr>
                <w:rFonts w:ascii="Calibri" w:hAnsi="Calibri" w:cs="Calibri"/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495576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495576">
              <w:rPr>
                <w:rFonts w:ascii="Calibri" w:hAnsi="Calibri" w:cs="Calibri"/>
                <w:sz w:val="20"/>
                <w:szCs w:val="20"/>
              </w:rPr>
              <w:t>, weryfikowana będzie poprawność ustalenia wartości tej pomocy, w tym jej intensywności, w kontekście właściwych przepisów dotyczących jej udzielania.</w:t>
            </w:r>
          </w:p>
          <w:p w14:paraId="5CCD4E7C" w14:textId="2356BFC1" w:rsidR="00495576" w:rsidRPr="006D4E6D" w:rsidRDefault="00495576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495576">
              <w:rPr>
                <w:rFonts w:ascii="Calibri" w:hAnsi="Calibri" w:cs="Calibri"/>
                <w:sz w:val="20"/>
                <w:szCs w:val="20"/>
              </w:rPr>
              <w:t>W przypadku ponownej oceny lub weryfikacji w zakresie propozycji wprowadzenia zmian w projekcie w trybie art. 62 ustawy wdrożeniowej</w:t>
            </w:r>
            <w:r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495576">
              <w:rPr>
                <w:rFonts w:ascii="Calibri" w:hAnsi="Calibri" w:cs="Calibri"/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495576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495576">
              <w:rPr>
                <w:rFonts w:ascii="Calibri" w:hAnsi="Calibri" w:cs="Calibri"/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749" w14:textId="039149F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42120600" w14:textId="2C917D83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DBF">
                  <w:rPr>
                    <w:rFonts w:ascii="MS Gothic" w:eastAsia="MS Gothic" w:hAnsi="MS Gothic" w:cs="Calibr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CF69B" w14:textId="67EA5094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4B40D753" w14:textId="77777777" w:rsidTr="00716DBF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6876" w14:textId="1F6F9995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typami projektów określonymi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FEŚ 2021 – 2027, </w:t>
            </w:r>
            <w:proofErr w:type="spellStart"/>
            <w:r w:rsidRPr="006D4E6D">
              <w:rPr>
                <w:rFonts w:ascii="Calibri" w:hAnsi="Calibri" w:cs="Calibri"/>
                <w:b/>
                <w:bCs/>
              </w:rPr>
              <w:t>SzOP</w:t>
            </w:r>
            <w:proofErr w:type="spellEnd"/>
            <w:r w:rsidRPr="006D4E6D">
              <w:rPr>
                <w:rFonts w:ascii="Calibri" w:hAnsi="Calibri" w:cs="Calibri"/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3FED" w14:textId="75F00FC2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dla </w:t>
            </w:r>
            <w:r w:rsidR="00495576" w:rsidRPr="006D4E6D">
              <w:rPr>
                <w:rFonts w:ascii="Calibri" w:hAnsi="Calibri" w:cs="Calibri"/>
                <w:sz w:val="20"/>
                <w:szCs w:val="20"/>
              </w:rPr>
              <w:t>Działania,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1E65" w14:textId="5076F30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6969E47A" w14:textId="51DB4CB9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F09B8" w14:textId="046214A8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165AFEE" w14:textId="77777777" w:rsidTr="00716DBF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2B8C" w14:textId="63A3F62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kobiet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4A90" w14:textId="2427BC0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pozytywny bądź neutralny wpływ na zasadę równości kobiet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6D4E6D">
              <w:rPr>
                <w:rFonts w:ascii="Calibri" w:hAnsi="Calibri" w:cs="Calibri"/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52B3" w14:textId="761EEAB2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137D7572" w14:textId="19397EE1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F56C7" w14:textId="4522D723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2C6E44E" w14:textId="77777777" w:rsidTr="00716DBF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C0FF" w14:textId="12554D69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szans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niedyskryminacji, w tym dostępności dla osób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58E1" w14:textId="6D876D30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6D4E6D">
              <w:rPr>
                <w:rFonts w:ascii="Calibri" w:hAnsi="Calibri" w:cs="Calibri"/>
                <w:sz w:val="20"/>
                <w:szCs w:val="20"/>
              </w:rPr>
              <w:t>)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7FA42A" w14:textId="7009E1D2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C7E1" w14:textId="7F6CF75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37AF020B" w14:textId="269EC897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DBF">
                  <w:rPr>
                    <w:rFonts w:ascii="MS Gothic" w:eastAsia="MS Gothic" w:hAnsi="MS Gothic" w:cs="Calibr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E2AD9" w14:textId="4CBF3790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EE5D3B5" w14:textId="77777777" w:rsidTr="00716DBF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CCB9" w14:textId="22F67AE1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7"/>
            </w:r>
            <w:r w:rsidRPr="006D4E6D">
              <w:rPr>
                <w:rFonts w:ascii="Calibri" w:hAnsi="Calibri" w:cs="Calibri"/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o których mowa w art. 9 ust. 3 Rozporządzenia ogólnego, wsparcie w 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BC55" w14:textId="605CD86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Umową Partnerstwa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042D3E05" w14:textId="77777777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738C567F" w14:textId="77777777" w:rsidR="00352B19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0D981D" w14:textId="0F52B8E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43D30BD3" w14:textId="25C7758A" w:rsidR="008B5FD7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 w:rsidRPr="006D4E6D">
              <w:rPr>
                <w:rFonts w:ascii="Calibri" w:hAnsi="Calibri" w:cs="Calibri"/>
                <w:sz w:val="20"/>
                <w:szCs w:val="20"/>
              </w:rPr>
              <w:t>Z</w:t>
            </w:r>
            <w:r w:rsidRPr="006D4E6D">
              <w:rPr>
                <w:rFonts w:ascii="Calibri" w:hAnsi="Calibri" w:cs="Calibri"/>
                <w:sz w:val="20"/>
                <w:szCs w:val="20"/>
              </w:rPr>
              <w:t>godnie z regulaminem wyboru projektów,</w:t>
            </w:r>
          </w:p>
          <w:p w14:paraId="7858BF74" w14:textId="3660A05B" w:rsidR="001352C1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B4B5" w14:textId="06AC7CA9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78E26F6C" w14:textId="724B104A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DBF">
                  <w:rPr>
                    <w:rFonts w:ascii="MS Gothic" w:eastAsia="MS Gothic" w:hAnsi="MS Gothic" w:cs="Calibr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98330" w14:textId="1935C8A2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BF47285" w14:textId="77777777" w:rsidTr="00716DBF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36B20" w14:textId="7ECC7CD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DA63" w14:textId="1F0987E6" w:rsidR="00FD2090" w:rsidRPr="006D4E6D" w:rsidRDefault="00352B19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D51A07">
              <w:rPr>
                <w:rFonts w:ascii="Calibri" w:hAnsi="Calibri" w:cs="Calibri"/>
                <w:sz w:val="20"/>
                <w:szCs w:val="20"/>
              </w:rPr>
              <w:t>Ocenie będzie podlegać, czy projekt jest zgodny z Kartą Praw Podstawowych Unii Europejskiej z dnia 7 czerwca 2016 r. (Dz. Urz. UE C 202 z 07.06.2016, str. 389), w zakresie odnoszącym się do sposobu realizacji i zakresu projektu. Zgodność projektu z KPP w szczególności w zakresie art. 20-23;25;26 i 31;37, na etapie oceny wniosku należy rozumieć jako brak sprzeczności pomiędzy zapisami projektu a wymogami tego dokumentu lub stwierdzenie, że te wymagania są neutralne wobec zakresu i zawartości projektu</w:t>
            </w:r>
            <w:r w:rsidR="001352C1" w:rsidRPr="00D51A07">
              <w:rPr>
                <w:rFonts w:ascii="Calibri" w:hAnsi="Calibri" w:cs="Calibri"/>
                <w:sz w:val="20"/>
                <w:szCs w:val="20"/>
              </w:rPr>
              <w:t>.</w:t>
            </w:r>
            <w:r w:rsidR="001352C1" w:rsidRPr="006D4E6D">
              <w:rPr>
                <w:rFonts w:ascii="Calibri" w:hAnsi="Calibri" w:cs="Calibri"/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4F7189A2" w14:textId="067FA8D0" w:rsidR="001352C1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KPP (np. wyników kontroli, prawomocnych wyroków sądu).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F1FA" w14:textId="38A1C6BE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6584F3C3" w14:textId="2B2C7436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6DBF">
                  <w:rPr>
                    <w:rFonts w:ascii="MS Gothic" w:eastAsia="MS Gothic" w:hAnsi="MS Gothic" w:cs="Calibri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8867EB" w14:textId="0DA9D582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7FE0D55" w14:textId="77777777" w:rsidTr="00716DBF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6B64" w14:textId="4A64A112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6D18" w14:textId="7873BCCE" w:rsidR="00352B19" w:rsidRDefault="00352B19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 xml:space="preserve">Ocenie będzie podlegać to, czy projekt jest zgodny z Konwencją o Prawach Osób Niepełnosprawnych, sporządzoną w Nowym Jorku dnia 13 grudnia 2006 r. (Dz. U. z 2012 r. poz. 1169, z </w:t>
            </w:r>
            <w:proofErr w:type="spellStart"/>
            <w:r w:rsidRPr="00352B19">
              <w:rPr>
                <w:rFonts w:ascii="Calibri" w:hAnsi="Calibri" w:cs="Calibri"/>
                <w:sz w:val="20"/>
                <w:szCs w:val="20"/>
              </w:rPr>
              <w:t>późn</w:t>
            </w:r>
            <w:proofErr w:type="spellEnd"/>
            <w:r w:rsidRPr="00352B19">
              <w:rPr>
                <w:rFonts w:ascii="Calibri" w:hAnsi="Calibri" w:cs="Calibri"/>
                <w:sz w:val="20"/>
                <w:szCs w:val="20"/>
              </w:rPr>
              <w:t xml:space="preserve">. zm.), w zakresie odnoszącym się do sposobu realizacji i zakresu projektu. Zgodność projektu z Konwencją o Prawach Osób Niepełnosprawnych w szczególności </w:t>
            </w:r>
            <w:r w:rsidRPr="00D51A07">
              <w:rPr>
                <w:rFonts w:ascii="Calibri" w:hAnsi="Calibri" w:cs="Calibri"/>
                <w:sz w:val="20"/>
                <w:szCs w:val="20"/>
              </w:rPr>
              <w:t>z art. 2-5;9 i 27, na etapie oceny wniosku należy rozumieć jako brak</w:t>
            </w:r>
            <w:r w:rsidRPr="00352B19">
              <w:rPr>
                <w:rFonts w:ascii="Calibri" w:hAnsi="Calibri" w:cs="Calibri"/>
                <w:sz w:val="20"/>
                <w:szCs w:val="20"/>
              </w:rPr>
              <w:t xml:space="preserve"> sprzeczności pomiędzy zapisami projektu a wymogami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52B19">
              <w:rPr>
                <w:rFonts w:ascii="Calibri" w:hAnsi="Calibri" w:cs="Calibri"/>
                <w:sz w:val="20"/>
                <w:szCs w:val="20"/>
              </w:rPr>
              <w:t>tego dokumentu lub stwierdzenie, że te wymagania są neutralne wobec zakresu i zawartości projektu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38F324F" w14:textId="7420DDB3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12D0A789" w14:textId="43F70512" w:rsidR="001352C1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w/w Konwencją (np. wyników kontroli, prawomocnych wyroków sądu).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DBD4" w14:textId="386D340A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4D794289" w14:textId="168368CF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A5889" w14:textId="1341E990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E9C9D65" w14:textId="77777777" w:rsidTr="00716DBF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15A2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9FB0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Wnioskodawca zobowiązany jest, stosownie do charakteru projektu, do uwzględnienia wymogów ochrony środowiska i efektywnego gospodarowania zasobami</w:t>
            </w:r>
            <w:r w:rsidR="001352C1"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352B19">
              <w:rPr>
                <w:rFonts w:ascii="Calibri" w:hAnsi="Calibri" w:cs="Calibri"/>
                <w:sz w:val="20"/>
                <w:szCs w:val="20"/>
              </w:rPr>
              <w:t>kwestii dostosowania do zmian klimatu i łagodzenia ich skutków, różnorodności biologicznej, odporności na klęski żywiołowe oraz zapobiegania ryzyku i zarządzania ryzykiem związanym z ochroną środowiska.</w:t>
            </w:r>
          </w:p>
          <w:p w14:paraId="126DF43D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1F3F7EB6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</w:p>
          <w:p w14:paraId="1D93D619" w14:textId="77777777" w:rsidR="00352B19" w:rsidRPr="00352B19" w:rsidRDefault="00352B19" w:rsidP="00352B19">
            <w:pPr>
              <w:rPr>
                <w:rFonts w:ascii="Calibri" w:hAnsi="Calibri" w:cs="Calibri"/>
                <w:sz w:val="20"/>
                <w:szCs w:val="20"/>
              </w:rPr>
            </w:pPr>
            <w:r w:rsidRPr="00352B19">
              <w:rPr>
                <w:rFonts w:ascii="Calibri" w:hAnsi="Calibri" w:cs="Calibri"/>
                <w:sz w:val="20"/>
                <w:szCs w:val="20"/>
              </w:rPr>
              <w:t>Weryfikacji podlega, czy uwzględniono co najmniej jedno z rozwiązań w zakresie:</w:t>
            </w:r>
          </w:p>
          <w:p w14:paraId="2EE4BC1C" w14:textId="53D7EC5F" w:rsidR="00237A18" w:rsidRPr="006D4E6D" w:rsidRDefault="001352C1" w:rsidP="00352B19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zużycia wody,</w:t>
            </w:r>
          </w:p>
          <w:p w14:paraId="34422488" w14:textId="77777777" w:rsidR="00713956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odnawialnych źródeł energii.</w:t>
            </w:r>
          </w:p>
          <w:p w14:paraId="3236827E" w14:textId="39F6C7AF" w:rsidR="00352B19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  <w:r w:rsidR="00352B19" w:rsidRPr="00352B19">
              <w:rPr>
                <w:rFonts w:ascii="Calibri" w:hAnsi="Calibri" w:cs="Calibri"/>
                <w:sz w:val="20"/>
                <w:szCs w:val="20"/>
              </w:rPr>
              <w:t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</w:t>
            </w:r>
            <w:r w:rsidR="00352B19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="00352B19" w:rsidRPr="00352B19">
              <w:rPr>
                <w:rFonts w:ascii="Calibri" w:hAnsi="Calibri" w:cs="Calibri"/>
                <w:sz w:val="20"/>
                <w:szCs w:val="20"/>
              </w:rPr>
              <w:t xml:space="preserve"> stanowiącej załącznik nr 5 do „Prognozy oddziaływania na środowisko programu regionalnego Fundusze Europejskie dla Świętokrzyskiego 2021-2027” i zamieszczonych w niej ustaleń dla poszczególnych typów projektów.</w:t>
            </w:r>
          </w:p>
          <w:p w14:paraId="45E1D074" w14:textId="7038F456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BB80" w14:textId="4970BF58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hideMark/>
          </w:tcPr>
          <w:p w14:paraId="3453CA4F" w14:textId="76CDB77D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50402" w14:textId="57F872EA" w:rsidR="001352C1" w:rsidRPr="006D4E6D" w:rsidRDefault="00D51A07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4A65" w:rsidRPr="006D4E6D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6D4E6D" w:rsidRDefault="0096736A" w:rsidP="0096736A">
            <w:pPr>
              <w:ind w:right="1136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4059" w:type="dxa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6D4E6D" w14:paraId="33E7D3D4" w14:textId="77777777" w:rsidTr="0096736A">
              <w:tc>
                <w:tcPr>
                  <w:tcW w:w="14059" w:type="dxa"/>
                </w:tcPr>
                <w:p w14:paraId="73C81D81" w14:textId="1B853C18" w:rsidR="001352C1" w:rsidRPr="006D4E6D" w:rsidRDefault="005405C6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  <w:r w:rsidRPr="00B937B6">
                    <w:rPr>
                      <w:rFonts w:ascii="Calibri" w:hAnsi="Calibri" w:cs="Calibri"/>
                      <w:b/>
                      <w:bCs/>
                    </w:rPr>
                    <w:t xml:space="preserve">Uzasadnienie </w:t>
                  </w:r>
                  <w:r w:rsidR="00352B19" w:rsidRPr="00B937B6">
                    <w:rPr>
                      <w:rFonts w:ascii="Calibri" w:hAnsi="Calibri" w:cs="Calibri"/>
                      <w:b/>
                      <w:bCs/>
                    </w:rPr>
                    <w:t>oceny na</w:t>
                  </w:r>
                  <w:r w:rsidR="00B8532A" w:rsidRPr="00B937B6">
                    <w:rPr>
                      <w:rFonts w:ascii="Calibri" w:hAnsi="Calibri" w:cs="Calibri"/>
                      <w:b/>
                      <w:bCs/>
                    </w:rPr>
                    <w:t xml:space="preserve"> etapie oceny formalnej (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>kryteria formalne</w:t>
                  </w:r>
                  <w:r w:rsidR="00B8532A" w:rsidRPr="00B937B6">
                    <w:rPr>
                      <w:rFonts w:ascii="Calibri" w:hAnsi="Calibri" w:cs="Calibri"/>
                      <w:b/>
                      <w:bCs/>
                    </w:rPr>
                    <w:t>)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>:</w:t>
                  </w:r>
                </w:p>
                <w:p w14:paraId="127E02FB" w14:textId="77777777" w:rsidR="001352C1" w:rsidRPr="006D4E6D" w:rsidRDefault="001352C1" w:rsidP="0096736A">
                  <w:pPr>
                    <w:ind w:left="-232"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5B24F56A" w14:textId="76850317" w:rsidR="00D3294E" w:rsidRPr="006D4E6D" w:rsidRDefault="00D3294E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75"/>
              <w:gridCol w:w="2268"/>
              <w:gridCol w:w="1843"/>
              <w:gridCol w:w="1701"/>
              <w:gridCol w:w="200"/>
            </w:tblGrid>
            <w:tr w:rsidR="007A4BA0" w:rsidRPr="006D4E6D" w14:paraId="234A0FB7" w14:textId="77777777" w:rsidTr="005C7A72">
              <w:trPr>
                <w:gridAfter w:val="1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FE65B51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3F70255" w14:textId="77777777" w:rsidTr="005C7A72">
              <w:trPr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B937B6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169693D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6D4E6D" w14:paraId="17DD0B8D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center"/>
                </w:tcPr>
                <w:p w14:paraId="7621410E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B937B6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B937B6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0A591DE8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0E5C322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B937B6" w:rsidRDefault="00D029CE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</w:tcPr>
                <w:p w14:paraId="1E42EF74" w14:textId="40B4CD5F" w:rsidR="007A4BA0" w:rsidRPr="00B937B6" w:rsidRDefault="00D51A07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8E8EC97" w14:textId="1EB152FC" w:rsidR="007A4BA0" w:rsidRPr="00B937B6" w:rsidRDefault="00D51A07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6AC92037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5"/>
                  <w:vAlign w:val="center"/>
                </w:tcPr>
                <w:p w14:paraId="29C078E4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20532D9A" w14:textId="77777777" w:rsidTr="00D3294E">
              <w:trPr>
                <w:gridAfter w:val="1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6D4E6D" w14:paraId="7E21901E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B937B6" w:rsidRDefault="005C7A72" w:rsidP="009B3528">
                  <w:pPr>
                    <w:spacing w:after="0" w:line="240" w:lineRule="auto"/>
                    <w:ind w:left="110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CBC0DF8" w14:textId="0490F695" w:rsidR="00B914E4" w:rsidRPr="00B937B6" w:rsidRDefault="00D51A07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0E4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7570A97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68FD8271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0DF58647" w:rsidR="00B914E4" w:rsidRPr="00B937B6" w:rsidRDefault="005C7A72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</w:t>
                  </w:r>
                  <w:r w:rsidR="00F54102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 na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etapie oceny formalnej (kryteria formalne)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BF7AE87" w14:textId="2DD10104" w:rsidR="00B914E4" w:rsidRPr="00B937B6" w:rsidRDefault="00D51A07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67EF78E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77EF0866" w14:textId="77777777" w:rsidTr="005C7A72">
              <w:trPr>
                <w:gridAfter w:val="1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60820B0E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3AE762AB" w14:textId="77777777" w:rsidTr="00B622B7">
              <w:trPr>
                <w:gridAfter w:val="1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B937B6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B937B6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B937B6" w:rsidRDefault="005C7A72" w:rsidP="009B35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osoby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6D4E6D" w14:paraId="48DCAE22" w14:textId="77777777" w:rsidTr="00B622B7">
              <w:trPr>
                <w:gridAfter w:val="1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59C101C0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14:paraId="5C6D1577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5FDD5397" w14:textId="77777777" w:rsidR="00B914E4" w:rsidRPr="00B937B6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D4E6D" w:rsidRDefault="00C85886" w:rsidP="009B3528">
            <w:pPr>
              <w:ind w:left="-112" w:right="1136"/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C2F9C" w14:textId="77777777" w:rsidR="00005B27" w:rsidRDefault="00005B27" w:rsidP="002E4B81">
      <w:pPr>
        <w:spacing w:after="0" w:line="240" w:lineRule="auto"/>
      </w:pPr>
      <w:r>
        <w:separator/>
      </w:r>
    </w:p>
  </w:endnote>
  <w:endnote w:type="continuationSeparator" w:id="0">
    <w:p w14:paraId="0A5CD2EB" w14:textId="77777777" w:rsidR="00005B27" w:rsidRDefault="00005B27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7BD84" w14:textId="77777777" w:rsidR="00005B27" w:rsidRDefault="00005B27" w:rsidP="002E4B81">
      <w:pPr>
        <w:spacing w:after="0" w:line="240" w:lineRule="auto"/>
      </w:pPr>
      <w:r>
        <w:separator/>
      </w:r>
    </w:p>
  </w:footnote>
  <w:footnote w:type="continuationSeparator" w:id="0">
    <w:p w14:paraId="40E82FF9" w14:textId="77777777" w:rsidR="00005B27" w:rsidRDefault="00005B27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Pr="00740FE7" w:rsidRDefault="00AE5BB9">
      <w:pPr>
        <w:pStyle w:val="Tekstprzypisudolnego"/>
        <w:rPr>
          <w:sz w:val="18"/>
          <w:szCs w:val="18"/>
        </w:rPr>
      </w:pPr>
      <w:r w:rsidRPr="00740FE7">
        <w:rPr>
          <w:rStyle w:val="Odwoanieprzypisudolnego"/>
          <w:sz w:val="18"/>
          <w:szCs w:val="18"/>
        </w:rPr>
        <w:footnoteRef/>
      </w:r>
      <w:r w:rsidRPr="00740FE7">
        <w:rPr>
          <w:sz w:val="18"/>
          <w:szCs w:val="18"/>
        </w:rP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0E759418" w14:textId="2C237DE7" w:rsidR="00F54102" w:rsidRPr="00F54102" w:rsidRDefault="00F5410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F54102">
        <w:rPr>
          <w:sz w:val="18"/>
          <w:szCs w:val="18"/>
        </w:rPr>
        <w:t>SzOP</w:t>
      </w:r>
      <w:proofErr w:type="spellEnd"/>
      <w:r w:rsidRPr="00F54102">
        <w:rPr>
          <w:sz w:val="18"/>
          <w:szCs w:val="18"/>
        </w:rPr>
        <w:t xml:space="preserve"> – Szczegółowy Opis Priorytetów programu FEŚ 2021-2027</w:t>
      </w:r>
    </w:p>
  </w:footnote>
  <w:footnote w:id="3">
    <w:p w14:paraId="4AF7D377" w14:textId="3AD63C56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8C12EE">
        <w:rPr>
          <w:sz w:val="18"/>
          <w:szCs w:val="18"/>
        </w:rPr>
        <w:t>1</w:t>
      </w:r>
      <w:r w:rsidRPr="00181C0A">
        <w:rPr>
          <w:sz w:val="18"/>
          <w:szCs w:val="18"/>
        </w:rPr>
        <w:t xml:space="preserve"> roku;</w:t>
      </w:r>
    </w:p>
  </w:footnote>
  <w:footnote w:id="4">
    <w:p w14:paraId="7739440A" w14:textId="6AF43E66" w:rsidR="00495576" w:rsidRDefault="00495576" w:rsidP="00495576">
      <w:pPr>
        <w:pStyle w:val="Default"/>
        <w:rPr>
          <w:color w:val="auto"/>
        </w:rPr>
      </w:pPr>
      <w:r>
        <w:rPr>
          <w:rStyle w:val="Odwoanieprzypisudolnego"/>
        </w:rPr>
        <w:footnoteRef/>
      </w:r>
      <w:r w:rsidRPr="00495576">
        <w:rPr>
          <w:rFonts w:asciiTheme="minorHAnsi" w:hAnsiTheme="minorHAnsi" w:cstheme="minorHAnsi"/>
          <w:sz w:val="18"/>
          <w:szCs w:val="18"/>
        </w:rPr>
        <w:t>Ustawa z dnia 28 kwietnia 2022 roku o zasadach realizacji zadań finansowanych ze środków europejskich w perspektywie finansowej 2021 –2027</w:t>
      </w:r>
      <w:r>
        <w:rPr>
          <w:sz w:val="23"/>
          <w:szCs w:val="23"/>
        </w:rPr>
        <w:t xml:space="preserve"> </w:t>
      </w:r>
    </w:p>
    <w:p w14:paraId="52070489" w14:textId="1FF83ED5" w:rsidR="00495576" w:rsidRDefault="00495576">
      <w:pPr>
        <w:pStyle w:val="Tekstprzypisudolnego"/>
      </w:pPr>
      <w:r>
        <w:t xml:space="preserve"> </w:t>
      </w:r>
    </w:p>
  </w:footnote>
  <w:footnote w:id="5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02363CD4" w14:textId="4B682F60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</w:t>
      </w:r>
      <w:r w:rsidR="00743BDB">
        <w:rPr>
          <w:sz w:val="18"/>
          <w:szCs w:val="18"/>
        </w:rPr>
        <w:t>1</w:t>
      </w:r>
      <w:r w:rsidRPr="002F4345">
        <w:rPr>
          <w:sz w:val="18"/>
          <w:szCs w:val="18"/>
        </w:rPr>
        <w:t xml:space="preserve"> roku</w:t>
      </w:r>
      <w:r>
        <w:rPr>
          <w:sz w:val="18"/>
          <w:szCs w:val="18"/>
        </w:rPr>
        <w:t>;</w:t>
      </w:r>
    </w:p>
  </w:footnote>
  <w:footnote w:id="8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  <w:footnote w:id="9">
    <w:p w14:paraId="25E70C1C" w14:textId="04008888" w:rsidR="00352B19" w:rsidRPr="00352B19" w:rsidRDefault="00352B19">
      <w:pPr>
        <w:pStyle w:val="Tekstprzypisudolnego"/>
        <w:rPr>
          <w:sz w:val="18"/>
          <w:szCs w:val="18"/>
        </w:rPr>
      </w:pPr>
      <w:r w:rsidRPr="00352B19">
        <w:rPr>
          <w:rStyle w:val="Odwoanieprzypisudolnego"/>
          <w:sz w:val="18"/>
          <w:szCs w:val="18"/>
        </w:rPr>
        <w:footnoteRef/>
      </w:r>
      <w:r w:rsidRPr="00352B19">
        <w:rPr>
          <w:sz w:val="18"/>
          <w:szCs w:val="18"/>
        </w:rPr>
        <w:t xml:space="preserve"> Analiza dostępna na stronie: https://funduszeueswietokrzyskie.pl/dokumenty/analiza-dnsh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D2B5C"/>
    <w:multiLevelType w:val="hybridMultilevel"/>
    <w:tmpl w:val="083AF5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6"/>
  </w:num>
  <w:num w:numId="4" w16cid:durableId="370150065">
    <w:abstractNumId w:val="5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7"/>
  </w:num>
  <w:num w:numId="8" w16cid:durableId="1451315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05B27"/>
    <w:rsid w:val="000220BC"/>
    <w:rsid w:val="00036B97"/>
    <w:rsid w:val="00044F8B"/>
    <w:rsid w:val="00060B97"/>
    <w:rsid w:val="00086E97"/>
    <w:rsid w:val="00093242"/>
    <w:rsid w:val="000946AB"/>
    <w:rsid w:val="000B316A"/>
    <w:rsid w:val="0012313F"/>
    <w:rsid w:val="001352C1"/>
    <w:rsid w:val="0014495F"/>
    <w:rsid w:val="001663AC"/>
    <w:rsid w:val="001765B5"/>
    <w:rsid w:val="00181C0A"/>
    <w:rsid w:val="001853F4"/>
    <w:rsid w:val="001B12BB"/>
    <w:rsid w:val="001D108B"/>
    <w:rsid w:val="001D1C16"/>
    <w:rsid w:val="001E6345"/>
    <w:rsid w:val="00221B81"/>
    <w:rsid w:val="00221CC8"/>
    <w:rsid w:val="0023004B"/>
    <w:rsid w:val="00237A18"/>
    <w:rsid w:val="00241C88"/>
    <w:rsid w:val="002A4827"/>
    <w:rsid w:val="002B2906"/>
    <w:rsid w:val="002B3369"/>
    <w:rsid w:val="002E4B81"/>
    <w:rsid w:val="002E6A0A"/>
    <w:rsid w:val="002F4345"/>
    <w:rsid w:val="0032738F"/>
    <w:rsid w:val="00342CE6"/>
    <w:rsid w:val="00352B19"/>
    <w:rsid w:val="00366B57"/>
    <w:rsid w:val="003958D4"/>
    <w:rsid w:val="003A07D2"/>
    <w:rsid w:val="003B1ACC"/>
    <w:rsid w:val="003C430B"/>
    <w:rsid w:val="003E2BF9"/>
    <w:rsid w:val="003F415E"/>
    <w:rsid w:val="003F5F03"/>
    <w:rsid w:val="00406A3C"/>
    <w:rsid w:val="004257C9"/>
    <w:rsid w:val="00427E5A"/>
    <w:rsid w:val="00437067"/>
    <w:rsid w:val="00441EB0"/>
    <w:rsid w:val="00442C36"/>
    <w:rsid w:val="00495576"/>
    <w:rsid w:val="00530D05"/>
    <w:rsid w:val="005370A1"/>
    <w:rsid w:val="005405C6"/>
    <w:rsid w:val="00581A94"/>
    <w:rsid w:val="00594353"/>
    <w:rsid w:val="005A28F0"/>
    <w:rsid w:val="005B4396"/>
    <w:rsid w:val="005C0742"/>
    <w:rsid w:val="005C0CFC"/>
    <w:rsid w:val="005C7A72"/>
    <w:rsid w:val="005D7E88"/>
    <w:rsid w:val="005E1E4E"/>
    <w:rsid w:val="005E562F"/>
    <w:rsid w:val="0060417C"/>
    <w:rsid w:val="00624A65"/>
    <w:rsid w:val="0062684C"/>
    <w:rsid w:val="00641D68"/>
    <w:rsid w:val="00665F28"/>
    <w:rsid w:val="00674EEB"/>
    <w:rsid w:val="00692527"/>
    <w:rsid w:val="006A428D"/>
    <w:rsid w:val="006C1624"/>
    <w:rsid w:val="006D4E6D"/>
    <w:rsid w:val="006F60C3"/>
    <w:rsid w:val="00713956"/>
    <w:rsid w:val="00715167"/>
    <w:rsid w:val="00716DBF"/>
    <w:rsid w:val="00740FE7"/>
    <w:rsid w:val="00743BDB"/>
    <w:rsid w:val="00744B6A"/>
    <w:rsid w:val="00770837"/>
    <w:rsid w:val="00796912"/>
    <w:rsid w:val="007978CD"/>
    <w:rsid w:val="007A3D0D"/>
    <w:rsid w:val="007A4BA0"/>
    <w:rsid w:val="007D102D"/>
    <w:rsid w:val="007F112C"/>
    <w:rsid w:val="00805E79"/>
    <w:rsid w:val="0086201F"/>
    <w:rsid w:val="00866741"/>
    <w:rsid w:val="008A68BE"/>
    <w:rsid w:val="008B5FD7"/>
    <w:rsid w:val="008B61DE"/>
    <w:rsid w:val="008C12EE"/>
    <w:rsid w:val="008C61B2"/>
    <w:rsid w:val="008D2223"/>
    <w:rsid w:val="00916D5E"/>
    <w:rsid w:val="00944B72"/>
    <w:rsid w:val="00962F29"/>
    <w:rsid w:val="0096652E"/>
    <w:rsid w:val="0096736A"/>
    <w:rsid w:val="00991E3D"/>
    <w:rsid w:val="009A3E4D"/>
    <w:rsid w:val="009B3528"/>
    <w:rsid w:val="009B5708"/>
    <w:rsid w:val="009B7D2B"/>
    <w:rsid w:val="00A00BB3"/>
    <w:rsid w:val="00A316AD"/>
    <w:rsid w:val="00A578E4"/>
    <w:rsid w:val="00A87F61"/>
    <w:rsid w:val="00A94AD1"/>
    <w:rsid w:val="00AA4669"/>
    <w:rsid w:val="00AC1D77"/>
    <w:rsid w:val="00AC240E"/>
    <w:rsid w:val="00AE5BB9"/>
    <w:rsid w:val="00B10277"/>
    <w:rsid w:val="00B34A2F"/>
    <w:rsid w:val="00B427DD"/>
    <w:rsid w:val="00B456F8"/>
    <w:rsid w:val="00B622B7"/>
    <w:rsid w:val="00B7352A"/>
    <w:rsid w:val="00B8532A"/>
    <w:rsid w:val="00B87B5C"/>
    <w:rsid w:val="00B914E4"/>
    <w:rsid w:val="00B937B6"/>
    <w:rsid w:val="00BA5815"/>
    <w:rsid w:val="00BC441E"/>
    <w:rsid w:val="00BD4F22"/>
    <w:rsid w:val="00BF4F6F"/>
    <w:rsid w:val="00C0099F"/>
    <w:rsid w:val="00C2719F"/>
    <w:rsid w:val="00C27D88"/>
    <w:rsid w:val="00C85886"/>
    <w:rsid w:val="00CD00C9"/>
    <w:rsid w:val="00D029CE"/>
    <w:rsid w:val="00D13A07"/>
    <w:rsid w:val="00D25F50"/>
    <w:rsid w:val="00D3294E"/>
    <w:rsid w:val="00D33395"/>
    <w:rsid w:val="00D34ACB"/>
    <w:rsid w:val="00D37461"/>
    <w:rsid w:val="00D40D6D"/>
    <w:rsid w:val="00D51A07"/>
    <w:rsid w:val="00D55121"/>
    <w:rsid w:val="00D65515"/>
    <w:rsid w:val="00D977CC"/>
    <w:rsid w:val="00DB1F98"/>
    <w:rsid w:val="00DB738C"/>
    <w:rsid w:val="00DD4A85"/>
    <w:rsid w:val="00DE0700"/>
    <w:rsid w:val="00E15EFE"/>
    <w:rsid w:val="00E37CCC"/>
    <w:rsid w:val="00E730A1"/>
    <w:rsid w:val="00E81E12"/>
    <w:rsid w:val="00E83EAB"/>
    <w:rsid w:val="00EF6B6B"/>
    <w:rsid w:val="00F03655"/>
    <w:rsid w:val="00F138A3"/>
    <w:rsid w:val="00F1756B"/>
    <w:rsid w:val="00F51B83"/>
    <w:rsid w:val="00F54102"/>
    <w:rsid w:val="00F829FD"/>
    <w:rsid w:val="00F92704"/>
    <w:rsid w:val="00FA30E4"/>
    <w:rsid w:val="00FA3FB8"/>
    <w:rsid w:val="00FA6226"/>
    <w:rsid w:val="00FA7A36"/>
    <w:rsid w:val="00FD2090"/>
    <w:rsid w:val="00FD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  <w:style w:type="paragraph" w:customStyle="1" w:styleId="Default">
    <w:name w:val="Default"/>
    <w:rsid w:val="004955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2520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Musiał, Artur</cp:lastModifiedBy>
  <cp:revision>23</cp:revision>
  <cp:lastPrinted>2024-07-30T06:16:00Z</cp:lastPrinted>
  <dcterms:created xsi:type="dcterms:W3CDTF">2024-07-05T08:50:00Z</dcterms:created>
  <dcterms:modified xsi:type="dcterms:W3CDTF">2025-08-22T11:13:00Z</dcterms:modified>
</cp:coreProperties>
</file>